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973B9" w:rsidRDefault="009973B9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Польськомовний</w:t>
            </w:r>
            <w:proofErr w:type="spellEnd"/>
            <w:r w:rsidRPr="00997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етикет: історія і сучасність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E1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СТАХНЮК НАТАЛІЯ ОЛЕКСАНДРІВНА </w:t>
            </w:r>
            <w:r w:rsidR="00E1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9359B2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A36E08" w:rsidRDefault="009973B9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9">
              <w:rPr>
                <w:rFonts w:ascii="Times New Roman" w:hAnsi="Times New Roman" w:cs="Times New Roman"/>
              </w:rPr>
              <w:t>https://moodle.kpnu.edu.ua/course/view.php?id=9586</w:t>
            </w: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6B7B2D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D175A" w:rsidRPr="006B7B2D" w:rsidRDefault="003D175A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Pr="009973B9" w:rsidRDefault="009973B9" w:rsidP="00676FA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Курс пропонує розгляд найпроблемніших питань </w:t>
      </w:r>
      <w:r w:rsidRPr="009973B9">
        <w:rPr>
          <w:rFonts w:ascii="Times New Roman" w:hAnsi="Times New Roman" w:cs="Times New Roman"/>
          <w:sz w:val="28"/>
          <w:szCs w:val="28"/>
        </w:rPr>
        <w:t>пов'язаних</w:t>
      </w:r>
      <w:r w:rsidRPr="009973B9">
        <w:rPr>
          <w:rFonts w:ascii="Times New Roman" w:hAnsi="Times New Roman" w:cs="Times New Roman"/>
          <w:sz w:val="28"/>
          <w:szCs w:val="28"/>
        </w:rPr>
        <w:t xml:space="preserve"> з особливостями мовленнєвого етикету поляків. Обрані для вивчення проблеми представляють </w:t>
      </w:r>
      <w:proofErr w:type="spellStart"/>
      <w:r w:rsidRPr="009973B9">
        <w:rPr>
          <w:rFonts w:ascii="Times New Roman" w:hAnsi="Times New Roman" w:cs="Times New Roman"/>
          <w:sz w:val="28"/>
          <w:szCs w:val="28"/>
        </w:rPr>
        <w:t>найдинамічніші</w:t>
      </w:r>
      <w:proofErr w:type="spellEnd"/>
      <w:r w:rsidRPr="009973B9">
        <w:rPr>
          <w:rFonts w:ascii="Times New Roman" w:hAnsi="Times New Roman" w:cs="Times New Roman"/>
          <w:sz w:val="28"/>
          <w:szCs w:val="28"/>
        </w:rPr>
        <w:t xml:space="preserve"> явища пов'язані із варіантністю мовних одиниць на сучасному етапі розвитку польської мови. Студенти засвоюють матеріал про складні випадки диференційованої за різними критеріями польської нормативні («зразкові» й «ужиткові») форми, водночас пізнають помилкові форми, що їх часто вживають носії польської мови. Слухачі курсу ознайомлюються із динамічними процесами в польському словотворенні і слововживанні, аналізують проблеми розмитості меж с</w:t>
      </w:r>
      <w:r w:rsidRPr="009973B9">
        <w:rPr>
          <w:rFonts w:ascii="Times New Roman" w:hAnsi="Times New Roman" w:cs="Times New Roman"/>
          <w:sz w:val="28"/>
          <w:szCs w:val="28"/>
        </w:rPr>
        <w:t>учасних функціональних стилів, м</w:t>
      </w:r>
      <w:r w:rsidRPr="009973B9">
        <w:rPr>
          <w:rFonts w:ascii="Times New Roman" w:hAnsi="Times New Roman" w:cs="Times New Roman"/>
          <w:sz w:val="28"/>
          <w:szCs w:val="28"/>
        </w:rPr>
        <w:t>овно-культурні звичаї поляків (на прикладі актів мовленнєвого етикету) аналізують на тлі рідної мови і</w:t>
      </w:r>
      <w:r w:rsidRPr="009973B9">
        <w:rPr>
          <w:rFonts w:ascii="Times New Roman" w:hAnsi="Times New Roman" w:cs="Times New Roman"/>
          <w:sz w:val="28"/>
          <w:szCs w:val="28"/>
        </w:rPr>
        <w:t xml:space="preserve"> </w:t>
      </w:r>
      <w:r w:rsidRPr="009973B9">
        <w:rPr>
          <w:rFonts w:ascii="Times New Roman" w:hAnsi="Times New Roman" w:cs="Times New Roman"/>
          <w:sz w:val="28"/>
          <w:szCs w:val="28"/>
        </w:rPr>
        <w:t xml:space="preserve">культури, а також у зіставленні з </w:t>
      </w:r>
      <w:r w:rsidRPr="009973B9">
        <w:rPr>
          <w:rFonts w:ascii="Times New Roman" w:hAnsi="Times New Roman" w:cs="Times New Roman"/>
          <w:sz w:val="28"/>
          <w:szCs w:val="28"/>
        </w:rPr>
        <w:t>історичним аспектом</w:t>
      </w:r>
      <w:r w:rsidRPr="009973B9">
        <w:rPr>
          <w:rFonts w:ascii="Times New Roman" w:hAnsi="Times New Roman" w:cs="Times New Roman"/>
          <w:sz w:val="28"/>
          <w:szCs w:val="28"/>
        </w:rPr>
        <w:t>.</w:t>
      </w:r>
    </w:p>
    <w:p w:rsidR="009973B9" w:rsidRPr="00676FA6" w:rsidRDefault="009973B9" w:rsidP="00676F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175A" w:rsidRPr="00676FA6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sz w:val="28"/>
          <w:szCs w:val="28"/>
        </w:rPr>
        <w:t>Мета та цілі курсу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Метою курсу є курсу є ознайомлення студентів з теоретичними проблемами сучасного функціонування мовних одиниць різних рівнів (на тлі традиції), а також формування в них практичних навичок правильного вживання польської мови </w:t>
      </w:r>
      <w:r w:rsidR="00CB61E2">
        <w:rPr>
          <w:rFonts w:ascii="Times New Roman" w:hAnsi="Times New Roman" w:cs="Times New Roman"/>
          <w:sz w:val="28"/>
          <w:szCs w:val="28"/>
        </w:rPr>
        <w:t>на різних</w:t>
      </w:r>
      <w:r w:rsidRPr="009973B9">
        <w:rPr>
          <w:rFonts w:ascii="Times New Roman" w:hAnsi="Times New Roman" w:cs="Times New Roman"/>
          <w:sz w:val="28"/>
          <w:szCs w:val="28"/>
        </w:rPr>
        <w:t xml:space="preserve"> рівнях, з урахуванням засад етики та естетики слова та диференційованої для офіційних і неофіційних комунікативних ситуацій (т. зв. зразкової та ужиткової) норми сучасної польської мови. 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>Для досягнення мети необхідно вирішити такі завдання: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 - систематизувати проблемні щодо вживання одиниці польської мови на всіх її рівнях; 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- звернути увагу на варіантність мовних одиниць на кожному з рівнів </w:t>
      </w:r>
      <w:proofErr w:type="spellStart"/>
      <w:r w:rsidRPr="009973B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9973B9">
        <w:rPr>
          <w:rFonts w:ascii="Times New Roman" w:hAnsi="Times New Roman" w:cs="Times New Roman"/>
          <w:sz w:val="28"/>
          <w:szCs w:val="28"/>
        </w:rPr>
        <w:t xml:space="preserve"> системи; 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>- представити студентам тенденції розвитку польської мови на всіх її рівнях</w:t>
      </w:r>
      <w:r w:rsidR="00CB61E2">
        <w:rPr>
          <w:rFonts w:ascii="Times New Roman" w:hAnsi="Times New Roman" w:cs="Times New Roman"/>
          <w:sz w:val="28"/>
          <w:szCs w:val="28"/>
        </w:rPr>
        <w:t xml:space="preserve"> та етапах</w:t>
      </w:r>
      <w:r w:rsidRPr="009973B9">
        <w:rPr>
          <w:rFonts w:ascii="Times New Roman" w:hAnsi="Times New Roman" w:cs="Times New Roman"/>
          <w:sz w:val="28"/>
          <w:szCs w:val="28"/>
        </w:rPr>
        <w:t>, вч</w:t>
      </w:r>
      <w:r w:rsidR="00CB61E2">
        <w:rPr>
          <w:rFonts w:ascii="Times New Roman" w:hAnsi="Times New Roman" w:cs="Times New Roman"/>
          <w:sz w:val="28"/>
          <w:szCs w:val="28"/>
        </w:rPr>
        <w:t xml:space="preserve">ити їх аналізувати </w:t>
      </w:r>
      <w:proofErr w:type="spellStart"/>
      <w:r w:rsidR="00CB61E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B61E2">
        <w:rPr>
          <w:rFonts w:ascii="Times New Roman" w:hAnsi="Times New Roman" w:cs="Times New Roman"/>
          <w:sz w:val="28"/>
          <w:szCs w:val="28"/>
        </w:rPr>
        <w:t xml:space="preserve"> зміни;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- звернути особливу увагу на мовно-комунікативні аспекти функціонування та використання польської мови; </w:t>
      </w:r>
    </w:p>
    <w:p w:rsidR="003D175A" w:rsidRPr="009973B9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- систематизувати складні проблеми в польському мовленні </w:t>
      </w:r>
      <w:r w:rsidR="00CB61E2">
        <w:rPr>
          <w:rFonts w:ascii="Times New Roman" w:hAnsi="Times New Roman" w:cs="Times New Roman"/>
          <w:sz w:val="28"/>
          <w:szCs w:val="28"/>
        </w:rPr>
        <w:t>українців</w:t>
      </w:r>
      <w:r w:rsidRPr="009973B9">
        <w:rPr>
          <w:rFonts w:ascii="Times New Roman" w:hAnsi="Times New Roman" w:cs="Times New Roman"/>
          <w:sz w:val="28"/>
          <w:szCs w:val="28"/>
        </w:rPr>
        <w:t>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676FA6" w:rsidRDefault="00FE385E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вільного вибору студента.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8"/>
          <w:szCs w:val="28"/>
        </w:rPr>
      </w:pP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lastRenderedPageBreak/>
        <w:t xml:space="preserve">ПРН 02 </w:t>
      </w:r>
      <w:r w:rsidRPr="00676FA6">
        <w:rPr>
          <w:rFonts w:ascii="Times New Roman" w:hAnsi="Times New Roman" w:cs="Times New Roman"/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03 </w:t>
      </w:r>
      <w:r w:rsidRPr="00676FA6">
        <w:rPr>
          <w:rFonts w:ascii="Times New Roman" w:hAnsi="Times New Roman" w:cs="Times New Roman"/>
          <w:sz w:val="28"/>
          <w:szCs w:val="28"/>
        </w:rPr>
        <w:t xml:space="preserve">Знає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дискурс художньої літератури й сучасності.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06 </w:t>
      </w:r>
      <w:r w:rsidRPr="00676FA6">
        <w:rPr>
          <w:rFonts w:ascii="Times New Roman" w:hAnsi="Times New Roman" w:cs="Times New Roman"/>
          <w:sz w:val="28"/>
          <w:szCs w:val="28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08 </w:t>
      </w:r>
      <w:r w:rsidRPr="00676FA6">
        <w:rPr>
          <w:rFonts w:ascii="Times New Roman" w:hAnsi="Times New Roman" w:cs="Times New Roman"/>
          <w:sz w:val="28"/>
          <w:szCs w:val="28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освіти), здатний удосконалювати й підвищувати власний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рівень у вітчизняному та міжнародному контексті.  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10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676FA6">
        <w:rPr>
          <w:rFonts w:ascii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11 </w:t>
      </w:r>
      <w:r w:rsidRPr="00676FA6">
        <w:rPr>
          <w:rFonts w:ascii="Times New Roman" w:hAnsi="Times New Roman" w:cs="Times New Roman"/>
          <w:sz w:val="28"/>
          <w:szCs w:val="28"/>
        </w:rPr>
        <w:t xml:space="preserve">Порівнює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та літературні факти, явища, визначає їхні подібності й відмінності.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12 </w:t>
      </w:r>
      <w:r w:rsidRPr="00676FA6">
        <w:rPr>
          <w:rFonts w:ascii="Times New Roman" w:hAnsi="Times New Roman" w:cs="Times New Roman"/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023143" w:rsidRDefault="008107B3" w:rsidP="00676FA6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16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3D175A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966850" w:rsidTr="00676FA6">
        <w:trPr>
          <w:trHeight w:val="254"/>
        </w:trPr>
        <w:tc>
          <w:tcPr>
            <w:tcW w:w="4973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676FA6" w:rsidRPr="00966850" w:rsidTr="00676FA6">
        <w:trPr>
          <w:trHeight w:val="375"/>
        </w:trPr>
        <w:tc>
          <w:tcPr>
            <w:tcW w:w="4973" w:type="dxa"/>
            <w:vMerge/>
          </w:tcPr>
          <w:p w:rsidR="00676FA6" w:rsidRPr="00E60607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676FA6" w:rsidRPr="00E60607" w:rsidRDefault="00676FA6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676FA6" w:rsidRPr="00966850" w:rsidTr="00410A12">
        <w:tc>
          <w:tcPr>
            <w:tcW w:w="4973" w:type="dxa"/>
          </w:tcPr>
          <w:p w:rsidR="00676FA6" w:rsidRPr="00966850" w:rsidRDefault="00676FA6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676FA6" w:rsidRDefault="00676FA6" w:rsidP="00F94F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(Польсь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мова і зарубіжна література), </w:t>
            </w:r>
          </w:p>
          <w:p w:rsidR="00676FA6" w:rsidRPr="00966850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014 Середня освіта (Мова і література (польська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9795" w:type="dxa"/>
            <w:vAlign w:val="center"/>
          </w:tcPr>
          <w:p w:rsidR="00676FA6" w:rsidRPr="00ED79DE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 III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9795" w:type="dxa"/>
            <w:vAlign w:val="center"/>
          </w:tcPr>
          <w:p w:rsidR="00676FA6" w:rsidRPr="00CA5FF9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III, IV, V, VI</w:t>
            </w:r>
          </w:p>
        </w:tc>
      </w:tr>
      <w:tr w:rsidR="00676FA6" w:rsidRPr="00966850" w:rsidTr="00627F1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676FA6" w:rsidRPr="00966850" w:rsidTr="005A282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676FA6" w:rsidRPr="00966850" w:rsidTr="00E06C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357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годин навчальних занять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947D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C646A3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EB11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CC5A21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65CB9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76FA6" w:rsidRPr="00966850" w:rsidTr="000D2116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676FA6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>Практи</w:t>
      </w:r>
      <w:r w:rsidR="00C3264F" w:rsidRPr="00676FA6">
        <w:rPr>
          <w:rFonts w:ascii="Times New Roman" w:hAnsi="Times New Roman" w:cs="Times New Roman"/>
          <w:sz w:val="28"/>
          <w:szCs w:val="28"/>
        </w:rPr>
        <w:t>ка</w:t>
      </w:r>
      <w:r w:rsidRPr="00676FA6">
        <w:rPr>
          <w:rFonts w:ascii="Times New Roman" w:hAnsi="Times New Roman" w:cs="Times New Roman"/>
          <w:sz w:val="28"/>
          <w:szCs w:val="28"/>
        </w:rPr>
        <w:t xml:space="preserve"> </w:t>
      </w:r>
      <w:r w:rsidR="00C3264F" w:rsidRPr="00676FA6">
        <w:rPr>
          <w:rFonts w:ascii="Times New Roman" w:hAnsi="Times New Roman" w:cs="Times New Roman"/>
          <w:sz w:val="28"/>
          <w:szCs w:val="28"/>
        </w:rPr>
        <w:t>усного і писемного мовлення</w:t>
      </w:r>
      <w:r w:rsidR="00676FA6" w:rsidRPr="00676FA6">
        <w:rPr>
          <w:rFonts w:ascii="Times New Roman" w:hAnsi="Times New Roman" w:cs="Times New Roman"/>
          <w:sz w:val="28"/>
          <w:szCs w:val="28"/>
        </w:rPr>
        <w:t xml:space="preserve"> польської мови.</w:t>
      </w:r>
    </w:p>
    <w:p w:rsidR="00FE385E" w:rsidRPr="008107B3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676FA6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75A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6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7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A21D01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3D175A" w:rsidRPr="00915B70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054349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3D175A" w:rsidRPr="00961B57" w:rsidTr="00F94FD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4300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92981" w:rsidRPr="00961B57" w:rsidTr="00892981">
        <w:trPr>
          <w:trHeight w:val="391"/>
        </w:trPr>
        <w:tc>
          <w:tcPr>
            <w:tcW w:w="1474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981" w:rsidRPr="00961B57" w:rsidRDefault="00892981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Змістовий модуль 1: «</w:t>
            </w:r>
            <w:proofErr w:type="spellStart"/>
            <w:r w:rsidR="002176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Польськомовний</w:t>
            </w:r>
            <w:proofErr w:type="spellEnd"/>
            <w:r w:rsidR="002176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етикет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»</w:t>
            </w:r>
          </w:p>
        </w:tc>
      </w:tr>
      <w:tr w:rsidR="009359B2" w:rsidRPr="00961B57" w:rsidTr="00A36E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Лінгвопрагматика</w:t>
            </w:r>
            <w:proofErr w:type="spellEnd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. Польський мовленнєвий етикет: традиція та нові тенденції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о-історична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 зумовленість мовленнєвих актів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 прагматика.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Мовленнєві акти, їх класифікація. 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Акти мовленнєвого етикету.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2, 7, 16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8F4B3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51402E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8D3DCA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971E81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36E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польської ввічливості.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Польсько-українські паралелі та контрасти у вибраних актах мовленнєвого етикету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акти звертання до адресата;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перехід на „ти”;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себе та інших;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привітання та прощання;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подяка;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вибачення;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вираже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ння співчуття;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привітання.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3, 4, 11, 14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F18E5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F18E5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4D76EA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Соціо</w:t>
            </w:r>
            <w:proofErr w:type="spellEnd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та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прагмалінгвістична</w:t>
            </w:r>
            <w:proofErr w:type="spellEnd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диференціація актів мовленнєвого етикету.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2, 3, 9, 10, 11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F07B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DE79B2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6B06D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Зміни у сучасному п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ольському мовленнєвому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етикеті.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спрощення,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„комп’ютеризація”,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проникнення західних взірців,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„споживацький” характер,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демократизація.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2, 3, 5, 15, 17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9F783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4C585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64F" w:rsidRPr="00C3264F" w:rsidTr="00036EB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264F"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31" w:rsidRPr="00217631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="00217631"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Мовленнєвий етикет поляків на тлі інших культур</w:t>
            </w:r>
            <w:r w:rsidR="00217631"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264F" w:rsidRPr="00217631" w:rsidRDefault="00217631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від </w:t>
            </w:r>
            <w:proofErr w:type="spellStart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мовноетикетної</w:t>
            </w:r>
            <w:proofErr w:type="spellEnd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 норми в польському мовленні</w:t>
            </w:r>
            <w:r w:rsidR="00C3264F"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17631" w:rsidRPr="00217631" w:rsidRDefault="00217631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264F" w:rsidRPr="00217631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лекція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,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9, 12, 13, </w:t>
            </w:r>
            <w:r w:rsid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презентацію,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9B2" w:rsidRPr="00C3264F" w:rsidTr="00A158D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текст лекції, підготувати конспект, анотувати прочитану додаткову літературу. Відповісти на питання та виконати вправи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9B2" w:rsidRPr="00C3264F" w:rsidTr="00A158D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DE" w:rsidRPr="00C3264F" w:rsidRDefault="003D175A" w:rsidP="00C3264F">
      <w:pPr>
        <w:spacing w:after="0" w:line="259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FDE" w:rsidRPr="000C0413" w:rsidRDefault="00F94FDE" w:rsidP="00676FA6">
      <w:pPr>
        <w:spacing w:after="0" w:line="259" w:lineRule="auto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1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:rsidR="00CB61E2" w:rsidRP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ОСНОВНА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Bajerowa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Zarys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historii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1939-2000.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Formy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normy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poprawna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praktyce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Praca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zbiorowa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Inny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T 1-2.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Lubaś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Urbańczyk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Podręczny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wymowy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Kraków-Katowice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Teoria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Zagadnienia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leksykalne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Najnowsze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dzieje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słowiańskich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Gajda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Opole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Nowy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PWN.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CB61E2" w:rsidRP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Wielki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CB61E2">
          <w:rPr>
            <w:rStyle w:val="a3"/>
            <w:rFonts w:ascii="Times New Roman" w:hAnsi="Times New Roman" w:cs="Times New Roman"/>
            <w:sz w:val="28"/>
            <w:szCs w:val="28"/>
          </w:rPr>
          <w:t>http://wsjp.pl</w:t>
        </w:r>
      </w:hyperlink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lastRenderedPageBreak/>
        <w:t xml:space="preserve">ДОДАТКОВА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dobrego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stylu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wyrazy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lubią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peryfraz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wyrażeń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omownych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>, 2002.</w:t>
      </w:r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Bariery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pomosty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komunikacji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językowej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Polaków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Bartmiński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U.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Majer-Baranowska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Dubisz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Probabilistyka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lingwistyczna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rozwoju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 XXI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[W:]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Przyszłość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Krzemień-Ojak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B.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Nowowiejski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Białystok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2001. S. 45-63.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Dunaj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B. O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wymowie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spikerów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lektorów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radiowych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>. [W:] „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”. 1983. Z. 1-2. S. 7-26.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Grzeczność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krańcach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świata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Marcjanik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2007.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Grzeczność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nasza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obca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Marcjanik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2005.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Klebanowska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Kochański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A. O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dobrej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złej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polszczyźnie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płata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figle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Poradnik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każdego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Podracki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Ewolucja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perspektywy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rozwoju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Dubisz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Gajda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dzień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3D175A" w:rsidRPr="00CB61E2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160"/>
        <w:ind w:left="709" w:firstLine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75A" w:rsidRPr="00A355D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3D175A" w:rsidRPr="000C0413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13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  <w:gridCol w:w="2835"/>
        <w:gridCol w:w="3543"/>
      </w:tblGrid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835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3543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4300B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04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143" w:rsidRPr="003F428D" w:rsidRDefault="00023143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 оцінка з навчальної </w:t>
            </w: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Національна залікова </w:t>
            </w: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оцінка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</w:t>
      </w:r>
      <w:proofErr w:type="spellStart"/>
      <w:r w:rsidRPr="004F65A8">
        <w:rPr>
          <w:rFonts w:ascii="Times New Roman" w:eastAsia="Times New Roman" w:hAnsi="Times New Roman" w:cs="Times New Roman"/>
          <w:sz w:val="28"/>
          <w:szCs w:val="28"/>
        </w:rPr>
        <w:t>пропущено</w:t>
      </w:r>
      <w:proofErr w:type="spellEnd"/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43" w:rsidRDefault="00023143" w:rsidP="000C0413">
      <w:pPr>
        <w:spacing w:after="0"/>
        <w:ind w:left="709"/>
        <w:rPr>
          <w:sz w:val="28"/>
          <w:szCs w:val="28"/>
        </w:rPr>
      </w:pPr>
    </w:p>
    <w:p w:rsidR="00023143" w:rsidRPr="00A355D6" w:rsidRDefault="00023143" w:rsidP="000C0413">
      <w:pPr>
        <w:ind w:left="709"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0C0413"/>
    <w:rsid w:val="00186703"/>
    <w:rsid w:val="002163FA"/>
    <w:rsid w:val="00217631"/>
    <w:rsid w:val="00242409"/>
    <w:rsid w:val="003D175A"/>
    <w:rsid w:val="00422F87"/>
    <w:rsid w:val="004300B4"/>
    <w:rsid w:val="004E64B5"/>
    <w:rsid w:val="00507E0D"/>
    <w:rsid w:val="00676FA6"/>
    <w:rsid w:val="008107B3"/>
    <w:rsid w:val="00892981"/>
    <w:rsid w:val="008D3DCA"/>
    <w:rsid w:val="009359B2"/>
    <w:rsid w:val="00951355"/>
    <w:rsid w:val="0096694F"/>
    <w:rsid w:val="009973B9"/>
    <w:rsid w:val="00A21D01"/>
    <w:rsid w:val="00A355D6"/>
    <w:rsid w:val="00A36E08"/>
    <w:rsid w:val="00AC78A5"/>
    <w:rsid w:val="00AD2548"/>
    <w:rsid w:val="00B17424"/>
    <w:rsid w:val="00BE5AD9"/>
    <w:rsid w:val="00C3264F"/>
    <w:rsid w:val="00CB61E2"/>
    <w:rsid w:val="00D8647C"/>
    <w:rsid w:val="00E17E72"/>
    <w:rsid w:val="00F410EF"/>
    <w:rsid w:val="00F94FDE"/>
    <w:rsid w:val="00FC00C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34CF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0C04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0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j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3</cp:revision>
  <dcterms:created xsi:type="dcterms:W3CDTF">2023-02-21T20:22:00Z</dcterms:created>
  <dcterms:modified xsi:type="dcterms:W3CDTF">2023-02-21T20:57:00Z</dcterms:modified>
</cp:coreProperties>
</file>