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4D0541" w:rsidRPr="00070BCE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0541" w:rsidRPr="00915B70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4D0541" w:rsidRPr="00F353E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4D0541" w:rsidRPr="00915B70" w:rsidTr="001439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242409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ПОЛЬСЬКОЇ МОВИ</w:t>
            </w:r>
          </w:p>
        </w:tc>
      </w:tr>
      <w:tr w:rsidR="004D0541" w:rsidRPr="00915B70" w:rsidTr="001439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 НАТАЛІЯ ОЛЕКСАНДРІВНА доцент кафедри слов’янської філології та загального мовознавства</w:t>
            </w:r>
          </w:p>
        </w:tc>
      </w:tr>
      <w:tr w:rsidR="004D0541" w:rsidRPr="00915B70" w:rsidTr="001439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242409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4D0541" w:rsidRPr="00915B70" w:rsidTr="001439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242409" w:rsidRDefault="004D0541" w:rsidP="001439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4D0541" w:rsidRPr="00915B70" w:rsidTr="001439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242409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8">
              <w:rPr>
                <w:rFonts w:ascii="Times New Roman" w:hAnsi="Times New Roman" w:cs="Times New Roman"/>
              </w:rPr>
              <w:t>https://moodle.kpnu.edu.ua/course/view.php?id=508</w:t>
            </w:r>
          </w:p>
        </w:tc>
      </w:tr>
      <w:tr w:rsidR="004D0541" w:rsidRPr="00915B70" w:rsidTr="001439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0541" w:rsidRPr="00915B70" w:rsidRDefault="004D0541" w:rsidP="001439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4D0541" w:rsidRPr="00132D09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541" w:rsidRPr="003D22D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Default="004D0541" w:rsidP="004D05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D0541" w:rsidRPr="006B7B2D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4D0541" w:rsidRPr="006B7B2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Pr="00A36E08" w:rsidRDefault="004D0541" w:rsidP="004D0541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Pr="00A36E08">
        <w:rPr>
          <w:rFonts w:ascii="Times New Roman" w:hAnsi="Times New Roman" w:cs="Times New Roman"/>
          <w:sz w:val="24"/>
          <w:szCs w:val="24"/>
        </w:rPr>
        <w:t>Історія</w:t>
      </w:r>
      <w:r>
        <w:rPr>
          <w:rFonts w:ascii="Times New Roman" w:hAnsi="Times New Roman" w:cs="Times New Roman"/>
          <w:sz w:val="24"/>
          <w:szCs w:val="24"/>
        </w:rPr>
        <w:t xml:space="preserve"> польської мови</w:t>
      </w:r>
      <w:r w:rsidRPr="00A36E08">
        <w:rPr>
          <w:rFonts w:ascii="Times New Roman" w:hAnsi="Times New Roman" w:cs="Times New Roman"/>
          <w:sz w:val="24"/>
          <w:szCs w:val="24"/>
        </w:rPr>
        <w:t xml:space="preserve">» є </w:t>
      </w:r>
      <w:r>
        <w:rPr>
          <w:rFonts w:ascii="Times New Roman" w:hAnsi="Times New Roman" w:cs="Times New Roman"/>
          <w:sz w:val="24"/>
          <w:szCs w:val="24"/>
        </w:rPr>
        <w:t>навчальною дисципліною</w:t>
      </w:r>
      <w:r w:rsidRPr="00A36E08">
        <w:rPr>
          <w:rFonts w:ascii="Times New Roman" w:hAnsi="Times New Roman" w:cs="Times New Roman"/>
          <w:sz w:val="24"/>
          <w:szCs w:val="24"/>
        </w:rPr>
        <w:t xml:space="preserve">, скерованим на ознайомлення </w:t>
      </w:r>
      <w:r>
        <w:rPr>
          <w:rFonts w:ascii="Times New Roman" w:hAnsi="Times New Roman" w:cs="Times New Roman"/>
          <w:sz w:val="24"/>
          <w:szCs w:val="24"/>
        </w:rPr>
        <w:t>здобувачів вищої освіти</w:t>
      </w:r>
      <w:r w:rsidRPr="00A36E08">
        <w:rPr>
          <w:rFonts w:ascii="Times New Roman" w:hAnsi="Times New Roman" w:cs="Times New Roman"/>
          <w:sz w:val="24"/>
          <w:szCs w:val="24"/>
        </w:rPr>
        <w:t xml:space="preserve"> з діахронічними особливостями лексичної, граматичної та фонетичної систем сучасної польської мови. Метою викладання навчальної дисципліни є набуття знань про проходження, розвиток та особливості польської мови як однієї із слов’янських мов від найдавніших часів і до сьогодення, а також з історії слов’янських мов, які вони вже отримали; ознайомлення з історією розвитку літературної польської мови, умовами її функціонування та джерелами її вивчення в різні історичні періоди; формування розуміння взаємозв’язку розвитку польської та української мов, функціонування цих закономірностей у cинхронії. Зміст дисципліни розроблено на основі відповідних положень щодо підготовки вчителів польської мови, норм та традицій вищої університетської освіти, а також профілю освітньо-професійної програми.</w:t>
      </w:r>
    </w:p>
    <w:p w:rsidR="004D0541" w:rsidRPr="00070BCE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4D0541" w:rsidRPr="00132D09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Pr="00A36E08" w:rsidRDefault="004D0541" w:rsidP="004D0541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E08">
        <w:rPr>
          <w:rFonts w:ascii="Times New Roman" w:hAnsi="Times New Roman" w:cs="Times New Roman"/>
          <w:b/>
          <w:color w:val="000000"/>
          <w:sz w:val="24"/>
          <w:szCs w:val="24"/>
        </w:rPr>
        <w:t>Метою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 викладання навчальної дисцип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ліни “Історія польської мови” є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поглибити знання студентів з історії слов’янських мов, які вони вже отримали, послідовно показати, які фонетичні та морфологічні процеси пройшли у польській мові, як змінювалася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лексична система польської мови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на протязі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історії її розвитку; ознайомити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студентів з історією розвитку польської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мови від найдавніших часів і до сьогодення; з історією розвитку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літературної польс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ької мови, умовами її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функціонування та джерелами її вивчення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різні історичні періоди; подати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основи історичної граматики польської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ови, навчити пояснювати сучасні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фонетичні та граматичні процеси через призму історії мови.</w:t>
      </w:r>
    </w:p>
    <w:p w:rsidR="004D0541" w:rsidRPr="00A36E08" w:rsidRDefault="004D0541" w:rsidP="004D0541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Основними </w:t>
      </w:r>
      <w:r w:rsidRPr="00A36E08">
        <w:rPr>
          <w:rFonts w:ascii="Times New Roman" w:hAnsi="Times New Roman" w:cs="Times New Roman"/>
          <w:b/>
          <w:color w:val="000000"/>
          <w:sz w:val="24"/>
          <w:szCs w:val="24"/>
        </w:rPr>
        <w:t>завданнями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 вивчення дисцип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ліни “Історія польської мови”_є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вивчення внутрішніх закономірностей розв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итку польської мовної системи в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діахронії, встановлення основних тенденцій її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на всіх рівнях мовної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системи (фонетичному, морфологічному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словотвірному, синтаксичному,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лексичному); вивчення впливу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зовнішніх (екстралінгвістичних,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соціолінгвістичних і т.д.) факторів на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озвиток системи польської мови;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навчити студентів пояснювати мовні факти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явища в діахронії, допомогти їм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зрозуміти основні закономірності розвитку фонети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чної, лексичної та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граматичної системи польської мови.</w:t>
      </w:r>
    </w:p>
    <w:p w:rsidR="004D0541" w:rsidRPr="00A36E08" w:rsidRDefault="004D0541" w:rsidP="004D0541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Згідно з вимогами освітньо-професійної прог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рами студенти повинні: </w:t>
      </w:r>
      <w:r w:rsidRPr="00A36E08">
        <w:rPr>
          <w:rFonts w:ascii="Times New Roman" w:hAnsi="Times New Roman" w:cs="Times New Roman"/>
          <w:b/>
          <w:color w:val="000000"/>
          <w:sz w:val="24"/>
          <w:szCs w:val="24"/>
        </w:rPr>
        <w:t>знати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0541" w:rsidRPr="00A36E08" w:rsidRDefault="004D0541" w:rsidP="004D0541">
      <w:pPr>
        <w:numPr>
          <w:ilvl w:val="0"/>
          <w:numId w:val="7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 xml:space="preserve">періодизацію розвитку польської мови, характеризувати різні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періоди її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розвитку;</w:t>
      </w:r>
    </w:p>
    <w:p w:rsidR="004D0541" w:rsidRPr="00A36E08" w:rsidRDefault="004D0541" w:rsidP="004D0541">
      <w:pPr>
        <w:numPr>
          <w:ilvl w:val="0"/>
          <w:numId w:val="7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основні закономірності розвитку фонетичної, мор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фологічної та лексичної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систем польської мови;</w:t>
      </w:r>
    </w:p>
    <w:p w:rsidR="004D0541" w:rsidRPr="00A36E08" w:rsidRDefault="004D0541" w:rsidP="004D0541">
      <w:pPr>
        <w:numPr>
          <w:ilvl w:val="0"/>
          <w:numId w:val="7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основні фонетичні процеси польської мови;</w:t>
      </w:r>
    </w:p>
    <w:p w:rsidR="004D0541" w:rsidRPr="00A36E08" w:rsidRDefault="004D0541" w:rsidP="004D0541">
      <w:pPr>
        <w:numPr>
          <w:ilvl w:val="0"/>
          <w:numId w:val="7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морфологічні зміни польської мови та їх розв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иток від найдавніших часів і до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наших днів;</w:t>
      </w:r>
    </w:p>
    <w:p w:rsidR="004D0541" w:rsidRPr="00A36E08" w:rsidRDefault="004D0541" w:rsidP="004D0541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E08">
        <w:rPr>
          <w:rFonts w:ascii="Times New Roman" w:hAnsi="Times New Roman" w:cs="Times New Roman"/>
          <w:b/>
          <w:color w:val="000000"/>
          <w:sz w:val="24"/>
          <w:szCs w:val="24"/>
        </w:rPr>
        <w:t>вміти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0541" w:rsidRPr="00A36E08" w:rsidRDefault="004D0541" w:rsidP="004D0541">
      <w:pPr>
        <w:numPr>
          <w:ilvl w:val="0"/>
          <w:numId w:val="8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читати та аналізувати давньопольські тексти, визначити тип правопису;</w:t>
      </w:r>
    </w:p>
    <w:p w:rsidR="004D0541" w:rsidRPr="00A36E08" w:rsidRDefault="004D0541" w:rsidP="004D0541">
      <w:pPr>
        <w:numPr>
          <w:ilvl w:val="0"/>
          <w:numId w:val="8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пояснювати фонетичні зміни у давньопольс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ькій мові та пояснювати сучасні </w:t>
      </w:r>
      <w:r w:rsidRPr="00A36E08">
        <w:rPr>
          <w:rFonts w:ascii="Times New Roman" w:hAnsi="Times New Roman" w:cs="Times New Roman"/>
          <w:color w:val="000000"/>
          <w:sz w:val="24"/>
          <w:szCs w:val="24"/>
        </w:rPr>
        <w:t>явища з точки зору діахронії;</w:t>
      </w:r>
    </w:p>
    <w:p w:rsidR="004D0541" w:rsidRPr="00A36E08" w:rsidRDefault="004D0541" w:rsidP="004D0541">
      <w:pPr>
        <w:numPr>
          <w:ilvl w:val="0"/>
          <w:numId w:val="8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E08">
        <w:rPr>
          <w:rFonts w:ascii="Times New Roman" w:hAnsi="Times New Roman" w:cs="Times New Roman"/>
          <w:color w:val="000000"/>
          <w:sz w:val="24"/>
          <w:szCs w:val="24"/>
        </w:rPr>
        <w:t>пояснювати морфологічні зміни та сучасний стан словозміни у польській мові.</w:t>
      </w:r>
    </w:p>
    <w:p w:rsidR="004D0541" w:rsidRPr="008107B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541" w:rsidRPr="004D5CC7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4D0541" w:rsidRPr="008107B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0541" w:rsidRPr="008107B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Стандартний курс, обов’язкова навчальна дисципліна професійної підготовки.</w:t>
      </w:r>
    </w:p>
    <w:p w:rsidR="004D0541" w:rsidRPr="006B7B2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Pr="00915B70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4D0541" w:rsidRPr="00915B70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16"/>
          <w:szCs w:val="16"/>
        </w:rPr>
      </w:pP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02 </w:t>
      </w:r>
      <w:r w:rsidRPr="008107B3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03 </w:t>
      </w:r>
      <w:r w:rsidRPr="008107B3">
        <w:rPr>
          <w:rFonts w:ascii="Times New Roman" w:hAnsi="Times New Roman" w:cs="Times New Roman"/>
          <w:sz w:val="24"/>
          <w:szCs w:val="24"/>
        </w:rPr>
        <w:t>Знає мовні норми, соціокультурну ситуацію розвитку іноземної мови, особливості використання мовних одиниць у певному контексті, мовний дискурс художньої літератури й сучасності.</w:t>
      </w: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06 </w:t>
      </w:r>
      <w:r w:rsidRPr="008107B3">
        <w:rPr>
          <w:rFonts w:ascii="Times New Roman" w:hAnsi="Times New Roman" w:cs="Times New Roman"/>
          <w:sz w:val="24"/>
          <w:szCs w:val="24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08 </w:t>
      </w:r>
      <w:r w:rsidRPr="008107B3">
        <w:rPr>
          <w:rFonts w:ascii="Times New Roman" w:hAnsi="Times New Roman" w:cs="Times New Roman"/>
          <w:sz w:val="24"/>
          <w:szCs w:val="24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контексті.  </w:t>
      </w: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10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Розуміє еволюцію мови як системи, зв’язок мови і мовлення, мови та писемності; мовні системи та підсистеми; основні теорії та напрями розвитку галузей мовознавства.</w:t>
      </w: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11 </w:t>
      </w:r>
      <w:r w:rsidRPr="008107B3">
        <w:rPr>
          <w:rFonts w:ascii="Times New Roman" w:hAnsi="Times New Roman" w:cs="Times New Roman"/>
          <w:sz w:val="24"/>
          <w:szCs w:val="24"/>
        </w:rPr>
        <w:t>Порівнює мовні та літературні факти, явища, визначає їхні подібності й відмінності.</w:t>
      </w:r>
    </w:p>
    <w:p w:rsidR="004D0541" w:rsidRPr="008107B3" w:rsidRDefault="004D0541" w:rsidP="004D0541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12 </w:t>
      </w:r>
      <w:r w:rsidRPr="008107B3">
        <w:rPr>
          <w:rFonts w:ascii="Times New Roman" w:hAnsi="Times New Roman" w:cs="Times New Roman"/>
          <w:sz w:val="24"/>
          <w:szCs w:val="24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4D0541" w:rsidRPr="008107B3" w:rsidRDefault="004D0541" w:rsidP="004D054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16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541" w:rsidRPr="003D22D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0541" w:rsidRDefault="004D0541" w:rsidP="004D05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4D0541" w:rsidRPr="00EB2356" w:rsidRDefault="004D0541" w:rsidP="004D05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програми навчальної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4983"/>
        <w:gridCol w:w="4983"/>
      </w:tblGrid>
      <w:tr w:rsidR="004D0541" w:rsidRPr="00966850" w:rsidTr="0014391F">
        <w:trPr>
          <w:trHeight w:val="254"/>
        </w:trPr>
        <w:tc>
          <w:tcPr>
            <w:tcW w:w="5028" w:type="dxa"/>
            <w:vMerge w:val="restart"/>
          </w:tcPr>
          <w:p w:rsidR="004D0541" w:rsidRPr="00E60607" w:rsidRDefault="004D0541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4D0541" w:rsidRPr="00E60607" w:rsidRDefault="004D0541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4D0541" w:rsidRPr="00966850" w:rsidTr="0014391F">
        <w:trPr>
          <w:trHeight w:val="375"/>
        </w:trPr>
        <w:tc>
          <w:tcPr>
            <w:tcW w:w="5028" w:type="dxa"/>
            <w:vMerge/>
          </w:tcPr>
          <w:p w:rsidR="004D0541" w:rsidRPr="00E60607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4D0541" w:rsidRPr="00E60607" w:rsidRDefault="004D0541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4D0541" w:rsidRPr="00E60607" w:rsidRDefault="004D0541" w:rsidP="00143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4D0541" w:rsidRPr="008107B3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(Польська мова і зарубіжна література) за спеціальністю 014 Середня освіта (Мова і література (польська)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4D0541" w:rsidRPr="00A21D01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навчальна дисципліна професійної підготовки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0541" w:rsidRPr="00966850" w:rsidTr="0014391F">
        <w:tc>
          <w:tcPr>
            <w:tcW w:w="5028" w:type="dxa"/>
          </w:tcPr>
          <w:p w:rsidR="004D0541" w:rsidRPr="00966850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4D0541" w:rsidRPr="00C75A78" w:rsidRDefault="004D0541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:rsidR="004D0541" w:rsidRPr="00966850" w:rsidRDefault="004D0541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4D0541" w:rsidRPr="00915B70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0541" w:rsidRPr="00915B70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:rsidR="004D0541" w:rsidRPr="00915B70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усного і писемного мовлення польської мови</w:t>
      </w:r>
      <w:r w:rsidRPr="008107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7B3">
        <w:rPr>
          <w:rFonts w:ascii="Times New Roman" w:hAnsi="Times New Roman" w:cs="Times New Roman"/>
          <w:bCs/>
          <w:sz w:val="28"/>
          <w:szCs w:val="28"/>
        </w:rPr>
        <w:t>вступ до філології</w:t>
      </w:r>
    </w:p>
    <w:p w:rsidR="004D0541" w:rsidRPr="008107B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41" w:rsidRPr="00915B70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4D0541" w:rsidRPr="00915B70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 вивчення курсу не потребує використання програмного забезпечення, крім загальновживаних програм і операційних систем.</w:t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541" w:rsidRDefault="004D0541" w:rsidP="004D0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4D0541" w:rsidRPr="00915B70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0541" w:rsidRPr="003F428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4D0541" w:rsidRPr="003F428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(затвердж. 30.08.2018 р., URL: </w:t>
      </w:r>
      <w:hyperlink r:id="rId7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0541" w:rsidRPr="003F428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4D0541" w:rsidRPr="003F428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4D0541" w:rsidRPr="003F428D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8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4D0541" w:rsidRPr="00A21D0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4D0541" w:rsidRDefault="004D0541" w:rsidP="004D05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4D0541" w:rsidRPr="00915B70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0541" w:rsidRPr="00054349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4D0541" w:rsidRPr="00961B57" w:rsidTr="001439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 w:rsidRPr="00AC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422F8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A3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 języka a gramatyka historyczna – przedmiot badań.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Pochodzenie języka polskiego i jego miejsce wśród języków europejskich.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Periodyzacje dziejów polszczyzny. Nowe propozycje periodyzacyjne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422F8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7-67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F4B3F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 w:rsidRPr="004D0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 w:rsidRPr="004D0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10 балів, екзамен – 40 балів</w:t>
            </w:r>
            <w:r w:rsidRPr="008F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AC78A5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A3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Zmiany ilościowe leksyki polskiej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Zmiany jakościowe słownictwa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Wpływy obce na język polski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422F8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67-93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навчально-методичні посібники,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FC00C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Najważniejsze cechy językowe (fonetyczne, morfologiczne i składniowe) </w:t>
            </w:r>
            <w:r w:rsidRPr="00A36E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pl-PL"/>
              </w:rPr>
              <w:t>Bogurodzicy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422F8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115-137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2163F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Roczniki i kroniki. Hagiografia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422F8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169-248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2163F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Kontakty polsko-czeskie na tle literatury biblijnej, np. </w:t>
            </w:r>
            <w:r w:rsidRPr="00A36E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Biblii królowej Zofii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422F8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248-273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BE5AD9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6:</w:t>
            </w:r>
            <w:r w:rsidRPr="00A3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Apokryfy - </w:t>
            </w:r>
            <w:r w:rsidRPr="00A36E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pl-PL"/>
              </w:rPr>
              <w:t>Rozmyślanie przemyskie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A36E0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Rozmyślanie o żywocie Pana Jezusa</w:t>
            </w:r>
            <w:r w:rsidRPr="00BE6147">
              <w:rPr>
                <w:lang w:val="pl-PL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23-24, 40-42;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BE5AD9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A36E08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Pr="00A3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3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Traktaty „dobrego umierania” – </w:t>
            </w:r>
            <w:r w:rsidRPr="00A36E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Rozmowa Mistrza Polikarpa ze Śmiercią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64-65;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DC30B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8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Archaizmy w tekstach religijnych</w:t>
            </w:r>
            <w:r w:rsidRPr="000C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D3D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Rozwój druku i drukarni a kształtowanie się literackiej polszczyzny w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lastRenderedPageBreak/>
              <w:t>XVI w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111-112;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7, 8, 14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Elementy języka perswazji w </w:t>
            </w:r>
            <w:r w:rsidRPr="000C04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pl-PL"/>
              </w:rPr>
              <w:t>Kazaniach sejmowych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ks. Piotra Skargi (formy trybu rozkazującego, apostrofy, alegorie, zasada decorum)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Prasłowiańskie zapożyczenia odziedziczone przez polszczyznę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Staropolskie słownictwo w zakresie nazwy pokrewieństwa, urzędów</w:t>
            </w:r>
            <w:r w:rsidRPr="00BE6147">
              <w:rPr>
                <w:shd w:val="clear" w:color="auto" w:fill="FFFFFF"/>
                <w:lang w:val="pl-PL"/>
              </w:rPr>
              <w:t>, itp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Wybrane pola semantyczne słownictwa średniopolskiego i nowopolskiego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І</w:t>
            </w:r>
            <w:r w:rsidRPr="008D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36E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zyka</w:t>
            </w:r>
            <w:r w:rsidRPr="00A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</w:p>
          <w:p w:rsidR="004D0541" w:rsidRPr="000C0413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14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Geneza i historia nazwisk polskich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D0541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8D3DCA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4D0541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41" w:rsidRPr="00961B57" w:rsidRDefault="004D0541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0541" w:rsidRDefault="004D0541" w:rsidP="004D0541">
      <w:pPr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0541" w:rsidRPr="000C0413" w:rsidRDefault="004D0541" w:rsidP="004D0541">
      <w:pPr>
        <w:ind w:left="567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0C041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:rsidR="004D0541" w:rsidRPr="000C0413" w:rsidRDefault="004D0541" w:rsidP="004D0541">
      <w:pPr>
        <w:ind w:left="709"/>
        <w:rPr>
          <w:rFonts w:ascii="Times New Roman" w:hAnsi="Times New Roman" w:cs="Times New Roman"/>
          <w:sz w:val="24"/>
          <w:szCs w:val="24"/>
        </w:rPr>
      </w:pPr>
      <w:r w:rsidRPr="000C0413">
        <w:rPr>
          <w:rFonts w:ascii="Times New Roman" w:hAnsi="Times New Roman" w:cs="Times New Roman"/>
          <w:sz w:val="24"/>
          <w:szCs w:val="24"/>
          <w:u w:val="single"/>
        </w:rPr>
        <w:t>Основна</w:t>
      </w:r>
      <w:r w:rsidRPr="000C0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 xml:space="preserve">J. Strutyński, Elementy gramatyki historycznej języka polskiego, Kraków 1996 (i wyd. nast.).   </w:t>
      </w:r>
    </w:p>
    <w:p w:rsidR="004D0541" w:rsidRPr="000C0413" w:rsidRDefault="004D0541" w:rsidP="004D0541">
      <w:pPr>
        <w:numPr>
          <w:ilvl w:val="0"/>
          <w:numId w:val="9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413">
        <w:rPr>
          <w:rFonts w:ascii="Times New Roman" w:hAnsi="Times New Roman" w:cs="Times New Roman"/>
          <w:sz w:val="24"/>
          <w:szCs w:val="24"/>
        </w:rPr>
        <w:t>J. Strutyński,  Podstawowe wiadomości z gramatyki języka staro-cerkiewno-słowiańskiego, Kraków 1979 (i wyd. nast.).</w:t>
      </w:r>
    </w:p>
    <w:p w:rsidR="004D0541" w:rsidRPr="000C0413" w:rsidRDefault="004D0541" w:rsidP="004D0541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C0413">
        <w:rPr>
          <w:rFonts w:ascii="Times New Roman" w:hAnsi="Times New Roman" w:cs="Times New Roman"/>
          <w:sz w:val="24"/>
          <w:szCs w:val="24"/>
        </w:rPr>
        <w:t>B. Walczak,  Zarys dziejów języka polskiego, Poznań 1995 (i wyd. nast.).</w:t>
      </w:r>
    </w:p>
    <w:p w:rsidR="004D0541" w:rsidRPr="000C0413" w:rsidRDefault="004D0541" w:rsidP="004D0541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4D0541" w:rsidRPr="000C0413" w:rsidRDefault="004D0541" w:rsidP="004D0541">
      <w:pPr>
        <w:ind w:left="709"/>
        <w:rPr>
          <w:rFonts w:ascii="Times New Roman" w:hAnsi="Times New Roman" w:cs="Times New Roman"/>
          <w:sz w:val="24"/>
          <w:szCs w:val="24"/>
        </w:rPr>
      </w:pPr>
      <w:r w:rsidRPr="000C0413">
        <w:rPr>
          <w:rFonts w:ascii="Times New Roman" w:hAnsi="Times New Roman" w:cs="Times New Roman"/>
          <w:sz w:val="24"/>
          <w:szCs w:val="24"/>
          <w:u w:val="single"/>
        </w:rPr>
        <w:t>Додаткова</w:t>
      </w:r>
      <w:r w:rsidRPr="000C0413">
        <w:rPr>
          <w:rFonts w:ascii="Times New Roman" w:hAnsi="Times New Roman" w:cs="Times New Roman"/>
          <w:sz w:val="24"/>
          <w:szCs w:val="24"/>
        </w:rPr>
        <w:t>: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5"/>
        <w:jc w:val="both"/>
        <w:rPr>
          <w:sz w:val="24"/>
        </w:rPr>
      </w:pPr>
      <w:r w:rsidRPr="000C0413">
        <w:rPr>
          <w:color w:val="000000"/>
          <w:sz w:val="24"/>
        </w:rPr>
        <w:t>Лер-Сплавинский Т. Польский язык / Т. Лер-Сплавинский. –M., 1964.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5"/>
        <w:jc w:val="both"/>
        <w:rPr>
          <w:sz w:val="24"/>
        </w:rPr>
      </w:pPr>
      <w:r w:rsidRPr="000C0413">
        <w:rPr>
          <w:sz w:val="24"/>
        </w:rPr>
        <w:t>B. Dunaj,  Język polski najstarszej doby piśmiennej (XII- XIII w.), Kraków 1975.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5"/>
        <w:jc w:val="both"/>
        <w:rPr>
          <w:sz w:val="24"/>
        </w:rPr>
      </w:pPr>
      <w:r w:rsidRPr="000C0413">
        <w:rPr>
          <w:sz w:val="24"/>
        </w:rPr>
        <w:t>B. Dunaj, Pochodzenie polskiego języka literackiego, „Język Polski” LX, 1980, s. 245-254.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5"/>
        <w:jc w:val="both"/>
        <w:rPr>
          <w:sz w:val="24"/>
        </w:rPr>
      </w:pPr>
      <w:r w:rsidRPr="000C0413">
        <w:rPr>
          <w:sz w:val="24"/>
        </w:rPr>
        <w:t>J. Godyń,  Biblia a polszczyzna, [w:] Wpływ Biblii na literaturę polską, (praca zbiorowa), Kraków 1985, s. 143-161.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5"/>
        <w:jc w:val="both"/>
        <w:rPr>
          <w:sz w:val="24"/>
        </w:rPr>
      </w:pPr>
      <w:r w:rsidRPr="000C0413">
        <w:rPr>
          <w:sz w:val="24"/>
        </w:rPr>
        <w:t>J. Godyń, Błędy językowe „wiecznie żywe”, [w:]  W trosce o dobrą edukację. Prace dedykowane Profesor Jadwidze Koralikowej z okazji czterdziestolecia pracy naukowej, pod red. A. Janus-Sitarz, Kraków 2009, [s. 1-23].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J. Godyń, Elementy polszczyzny regionalnej w strukturze barokowych wierszy, [w:] Polszczyzna regionalna w okresie renesansu i baroku, pod red. H. Wiśniewskiej, Wrocław 1984. s. 69-81.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lastRenderedPageBreak/>
        <w:t>J. Godyń,  Bohemizmy w Eklezjastesie (Kraków 1522) w przekładzie Hieronima z Wielunia, [w:] Rzeczy minionych pamięć. Studia dedykowane Profesorowi Tadeuszowi Ulewiczowi w 90. rocznicę urodzin, pod red. A. Borowskiego i J. Niedźwiedzia, Kraków 2007, 207-220.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J. Godyń, Powstanie stylu biblijnego, [w:] tegoż,  Od Adama i Ewy zaczynać. Mały słownik biblizmów języka polskiego, Warszawa 2006, s. 15-18.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J. Godyń, Retoryka w pieśni pasyjnej Władysława z Gielniowa, Psałterzu floriańskim i Kazaniach świętokrzyskich (funkcje średniowiecznej interpunkcji), „Ruch Literacki”, XXXVII, 1996, s. 670-683.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J. Godyń, Folklor i gwara w pastorałkach karmelitańskich z XVIII wieku, [w:]  Z kolędą przez wieki. Kolędy w Polsce i innych krajach słowiańskich, pod red. T. Budrewicza, S. Koziary, J. Okonia, Tarnów 1996, s. 263-271.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M. Karaś, I Historia języka polskiego w ujęciu Zenona Klemensiewicza, „Poradnik Językowy” 1970, s.139-150.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E. Ostrowska, Bogurodzica – najstarszy wiersz polski, [w:] taże, Z dziejów języka polskiego i jego piękna, Kraków 1978.</w:t>
      </w:r>
    </w:p>
    <w:p w:rsidR="004D0541" w:rsidRPr="000C0413" w:rsidRDefault="004D0541" w:rsidP="004D0541">
      <w:pPr>
        <w:pStyle w:val="a6"/>
        <w:numPr>
          <w:ilvl w:val="0"/>
          <w:numId w:val="9"/>
        </w:numPr>
        <w:spacing w:line="276" w:lineRule="auto"/>
        <w:ind w:left="709" w:hanging="426"/>
        <w:jc w:val="both"/>
        <w:rPr>
          <w:sz w:val="24"/>
        </w:rPr>
      </w:pPr>
      <w:r w:rsidRPr="000C0413">
        <w:rPr>
          <w:sz w:val="24"/>
        </w:rPr>
        <w:t>E. Ostrowska, Kompozycja i artyzm językowy Kazań świętokrzyskich, [w:] taże, Z dziejów języka polskiego i jego piękna, Kraków 1978.</w:t>
      </w:r>
    </w:p>
    <w:p w:rsidR="004D0541" w:rsidRPr="000C0413" w:rsidRDefault="004D0541" w:rsidP="004D0541">
      <w:pPr>
        <w:numPr>
          <w:ilvl w:val="0"/>
          <w:numId w:val="9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413">
        <w:rPr>
          <w:rFonts w:ascii="Times New Roman" w:hAnsi="Times New Roman" w:cs="Times New Roman"/>
          <w:sz w:val="24"/>
          <w:szCs w:val="24"/>
        </w:rPr>
        <w:t>S. Urbańczyk,  Bogurodzica. Problemy czasu powstania i tła kulturalnego, „Pamiętnik Literacki” LXIX, 1978, z. 1, s. 35-70.</w:t>
      </w:r>
    </w:p>
    <w:p w:rsidR="004D0541" w:rsidRPr="00A355D6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160"/>
        <w:ind w:left="709" w:firstLine="1"/>
        <w:rPr>
          <w:color w:val="000000"/>
          <w:sz w:val="28"/>
          <w:szCs w:val="28"/>
        </w:rPr>
      </w:pPr>
    </w:p>
    <w:p w:rsidR="004D0541" w:rsidRPr="00A355D6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4D0541" w:rsidRPr="000C0413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0541" w:rsidRPr="000C0413" w:rsidRDefault="004D0541" w:rsidP="004D0541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13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552"/>
        <w:gridCol w:w="1984"/>
        <w:gridCol w:w="2552"/>
      </w:tblGrid>
      <w:tr w:rsidR="004D0541" w:rsidRPr="000C0413" w:rsidTr="0014391F">
        <w:tc>
          <w:tcPr>
            <w:tcW w:w="7513" w:type="dxa"/>
            <w:gridSpan w:val="2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552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984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552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D0541" w:rsidRPr="000C0413" w:rsidTr="0014391F">
        <w:tc>
          <w:tcPr>
            <w:tcW w:w="7513" w:type="dxa"/>
            <w:gridSpan w:val="2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Merge w:val="restart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541" w:rsidRPr="000C0413" w:rsidTr="0014391F">
        <w:tc>
          <w:tcPr>
            <w:tcW w:w="3402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111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552" w:type="dxa"/>
            <w:vMerge/>
          </w:tcPr>
          <w:p w:rsidR="004D0541" w:rsidRPr="000C0413" w:rsidRDefault="004D0541" w:rsidP="0014391F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0541" w:rsidRPr="000C0413" w:rsidRDefault="004D0541" w:rsidP="0014391F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0541" w:rsidRPr="000C0413" w:rsidRDefault="004D0541" w:rsidP="0014391F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541" w:rsidRPr="000C0413" w:rsidTr="0014391F">
        <w:tc>
          <w:tcPr>
            <w:tcW w:w="3402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25 балів</w:t>
            </w:r>
          </w:p>
        </w:tc>
        <w:tc>
          <w:tcPr>
            <w:tcW w:w="4111" w:type="dxa"/>
            <w:vAlign w:val="center"/>
          </w:tcPr>
          <w:p w:rsidR="004D0541" w:rsidRPr="000C0413" w:rsidRDefault="004D0541" w:rsidP="0014391F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25 балів</w:t>
            </w:r>
          </w:p>
        </w:tc>
        <w:tc>
          <w:tcPr>
            <w:tcW w:w="2552" w:type="dxa"/>
            <w:vMerge/>
          </w:tcPr>
          <w:p w:rsidR="004D0541" w:rsidRPr="000C0413" w:rsidRDefault="004D0541" w:rsidP="0014391F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0541" w:rsidRPr="000C0413" w:rsidRDefault="004D0541" w:rsidP="0014391F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0541" w:rsidRPr="000C0413" w:rsidRDefault="004D0541" w:rsidP="0014391F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0541" w:rsidRPr="000C0413" w:rsidRDefault="004D0541" w:rsidP="004D0541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541" w:rsidRPr="003F428D" w:rsidRDefault="004D0541" w:rsidP="004D0541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41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41" w:rsidRPr="003F428D" w:rsidRDefault="004D0541" w:rsidP="0014391F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541" w:rsidRPr="00A355D6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0541" w:rsidRPr="00A355D6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4D0541" w:rsidRPr="004F65A8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4D0541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41" w:rsidRPr="004F65A8" w:rsidRDefault="004D0541" w:rsidP="004D054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4D0541" w:rsidRPr="003F428D" w:rsidRDefault="004D0541" w:rsidP="004D054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4D0541" w:rsidRPr="003F428D" w:rsidRDefault="004D0541" w:rsidP="004D054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4D0541" w:rsidRPr="003F428D" w:rsidRDefault="004D0541" w:rsidP="004D054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4D0541" w:rsidRPr="003F428D" w:rsidRDefault="004D0541" w:rsidP="004D054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4D0541" w:rsidRPr="003F428D" w:rsidRDefault="004D0541" w:rsidP="004D054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541" w:rsidRDefault="004D0541" w:rsidP="004D0541">
      <w:pPr>
        <w:spacing w:after="0"/>
        <w:ind w:left="709"/>
        <w:rPr>
          <w:sz w:val="28"/>
          <w:szCs w:val="28"/>
        </w:rPr>
      </w:pPr>
    </w:p>
    <w:p w:rsidR="004D0541" w:rsidRPr="00A355D6" w:rsidRDefault="004D0541" w:rsidP="004D0541">
      <w:pPr>
        <w:ind w:left="709" w:firstLine="1"/>
        <w:rPr>
          <w:sz w:val="28"/>
          <w:szCs w:val="28"/>
        </w:rPr>
      </w:pPr>
    </w:p>
    <w:p w:rsidR="00A55EC6" w:rsidRDefault="00A55EC6">
      <w:bookmarkStart w:id="1" w:name="_GoBack"/>
      <w:bookmarkEnd w:id="1"/>
    </w:p>
    <w:sectPr w:rsidR="00A55EC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7"/>
    <w:rsid w:val="001A5977"/>
    <w:rsid w:val="004D0541"/>
    <w:rsid w:val="00A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541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4D0541"/>
    <w:rPr>
      <w:color w:val="0000FF"/>
      <w:u w:val="single"/>
    </w:rPr>
  </w:style>
  <w:style w:type="table" w:styleId="a4">
    <w:name w:val="Table Grid"/>
    <w:basedOn w:val="a1"/>
    <w:uiPriority w:val="59"/>
    <w:rsid w:val="004D054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0541"/>
    <w:pPr>
      <w:ind w:left="720"/>
      <w:contextualSpacing/>
    </w:pPr>
  </w:style>
  <w:style w:type="character" w:customStyle="1" w:styleId="115pt">
    <w:name w:val="Основной текст + 11;5 pt;Не полужирный"/>
    <w:rsid w:val="004D0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4D05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054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541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4D0541"/>
    <w:rPr>
      <w:color w:val="0000FF"/>
      <w:u w:val="single"/>
    </w:rPr>
  </w:style>
  <w:style w:type="table" w:styleId="a4">
    <w:name w:val="Table Grid"/>
    <w:basedOn w:val="a1"/>
    <w:uiPriority w:val="59"/>
    <w:rsid w:val="004D054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0541"/>
    <w:pPr>
      <w:ind w:left="720"/>
      <w:contextualSpacing/>
    </w:pPr>
  </w:style>
  <w:style w:type="character" w:customStyle="1" w:styleId="115pt">
    <w:name w:val="Основной текст + 11;5 pt;Не полужирный"/>
    <w:rsid w:val="004D0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4D05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054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ElbRiS7hkAM94yB65gsZAvD-VbMqXuI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ZbMN35h-7ZSJBBOVvL2bTCaLtRbcQA8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2727</Words>
  <Characters>15544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2022-09-19T08:59:00Z</dcterms:created>
  <dcterms:modified xsi:type="dcterms:W3CDTF">2022-09-19T08:59:00Z</dcterms:modified>
</cp:coreProperties>
</file>